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b/>
          <w:color w:val="323C45"/>
          <w:sz w:val="28"/>
          <w:szCs w:val="28"/>
        </w:rPr>
        <w:t>Методические рекомендации по заполнению формы 10-</w:t>
      </w:r>
      <w:r w:rsidRPr="00EF2C98">
        <w:rPr>
          <w:color w:val="323C45"/>
          <w:sz w:val="28"/>
          <w:szCs w:val="28"/>
        </w:rPr>
        <w:t>ПБ.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Финансовая отчетность по форме 10-ПБ «Отчет о доходах и расходах профсоюзной организации» составляется всеми профсоюзными организациями системы ФНПР: первичными профсоюзными организациями, территориальными организациями профсоюза, общероссийскими профсоюзами, территориальными объединениями организаций профсоюзов. Предоставление финансовой отчетности является уставной обязанностью этих организаций.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 Профсоюзные организации заполняют указанную форму финансовой отчетности, на основе данных бухгалтерского учета, полученных в результате их финансовой деятельности за год.</w:t>
      </w:r>
      <w:r w:rsidRPr="00EF2C98">
        <w:rPr>
          <w:color w:val="323C45"/>
          <w:sz w:val="28"/>
          <w:szCs w:val="28"/>
        </w:rPr>
        <w:br/>
        <w:t>Для учета поступающих средств, в профсоюзную организацию на его содержание и ведение уставной деятельности в рабочем Плане счетов бухгалтерского учета финансово-хозяйственной деятельности организации предусматривается счет 86 «Целевые финансирование и поступления». Аналитический учет по счету 86 ведется по назначению целевых поступлений и в разрезе источников поступления. Использование целевых поступлений в профсоюзных организациях производится в соответствии с целями и задачами, а также уставной деятельностью и отражается по дебету этого же счета в корреспонденции с соответствующими счетами.</w:t>
      </w:r>
      <w:r w:rsidRPr="00EF2C98">
        <w:rPr>
          <w:color w:val="323C45"/>
          <w:sz w:val="28"/>
          <w:szCs w:val="28"/>
        </w:rPr>
        <w:br/>
      </w:r>
      <w:r w:rsidRPr="00EF2C98">
        <w:rPr>
          <w:b/>
          <w:color w:val="323C45"/>
          <w:sz w:val="28"/>
          <w:szCs w:val="28"/>
        </w:rPr>
        <w:t>Финансовая отчетность</w:t>
      </w:r>
      <w:r w:rsidRPr="00EF2C98">
        <w:rPr>
          <w:color w:val="323C45"/>
          <w:sz w:val="28"/>
          <w:szCs w:val="28"/>
        </w:rPr>
        <w:t xml:space="preserve"> об исполнении сметы доходов и расходов профсоюзной организации </w:t>
      </w:r>
      <w:r w:rsidRPr="00EF2C98">
        <w:rPr>
          <w:b/>
          <w:color w:val="323C45"/>
          <w:sz w:val="28"/>
          <w:szCs w:val="28"/>
        </w:rPr>
        <w:t>утверждается соответствующим постоянно действующим коллегиальным органом</w:t>
      </w:r>
      <w:r w:rsidRPr="00EF2C98">
        <w:rPr>
          <w:color w:val="323C45"/>
          <w:sz w:val="28"/>
          <w:szCs w:val="28"/>
        </w:rPr>
        <w:t>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 xml:space="preserve">Срок представления отчета устанавливается соответствующим вышестоящим профсоюзным органом. Членские организации областной организации Профсоюза форму 10-ПБ представляют в Областной комитет в срок до 15 января года, следующего </w:t>
      </w:r>
      <w:proofErr w:type="gramStart"/>
      <w:r w:rsidRPr="00EF2C98">
        <w:rPr>
          <w:color w:val="323C45"/>
          <w:sz w:val="28"/>
          <w:szCs w:val="28"/>
        </w:rPr>
        <w:t>за</w:t>
      </w:r>
      <w:proofErr w:type="gramEnd"/>
      <w:r w:rsidRPr="00EF2C98">
        <w:rPr>
          <w:color w:val="323C45"/>
          <w:sz w:val="28"/>
          <w:szCs w:val="28"/>
        </w:rPr>
        <w:t xml:space="preserve"> отчетным.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С целью раскрытия существенной информации о деятельности профсоюзной организации в отчет могут быть введены дополнительные статьи, строки, при этом, не исключая тех, которые предусмотрены в данной форме.</w:t>
      </w:r>
      <w:r w:rsidRPr="00EF2C98">
        <w:rPr>
          <w:color w:val="323C45"/>
          <w:sz w:val="28"/>
          <w:szCs w:val="28"/>
        </w:rPr>
        <w:br/>
        <w:t>Данные представляемой финансовой отчетности приводятся в рублях. В форме не должно быть никаких подчисток и помарок. В случае отсутствия сведений по статьям сметы ставятся прочерки.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rStyle w:val="a4"/>
          <w:color w:val="323C45"/>
          <w:sz w:val="28"/>
          <w:szCs w:val="28"/>
        </w:rPr>
      </w:pPr>
      <w:r w:rsidRPr="00EF2C98">
        <w:rPr>
          <w:rStyle w:val="a4"/>
          <w:color w:val="323C45"/>
          <w:sz w:val="28"/>
          <w:szCs w:val="28"/>
        </w:rPr>
        <w:t>Таблица 1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Остаток средств на 1 января отчетного года показывается по данным неиспользованных средств, поступивших на осуществление уставной деятельности.</w:t>
      </w:r>
      <w:r w:rsidRPr="00EF2C98">
        <w:rPr>
          <w:color w:val="323C45"/>
          <w:sz w:val="28"/>
          <w:szCs w:val="28"/>
        </w:rPr>
        <w:br/>
      </w:r>
      <w:r w:rsidRPr="00EF2C98">
        <w:rPr>
          <w:rStyle w:val="a4"/>
          <w:color w:val="323C45"/>
          <w:sz w:val="28"/>
          <w:szCs w:val="28"/>
        </w:rPr>
        <w:t>«ДОХОДЫ»</w:t>
      </w:r>
      <w:r w:rsidRPr="00EF2C98">
        <w:rPr>
          <w:color w:val="323C45"/>
          <w:sz w:val="28"/>
          <w:szCs w:val="28"/>
        </w:rPr>
        <w:br/>
        <w:t>По статье 1 «Членские профсоюзные взносы» отражается сумма</w:t>
      </w:r>
      <w:r w:rsidRPr="00EF2C98">
        <w:rPr>
          <w:color w:val="323C45"/>
          <w:sz w:val="28"/>
          <w:szCs w:val="28"/>
        </w:rPr>
        <w:br/>
        <w:t>членских профсоюзных взносов, начисленная и удержанная из заработной платы в соответствии с коллективным договором (соглашением) в течение года.</w:t>
      </w:r>
      <w:r w:rsidRPr="00EF2C98">
        <w:rPr>
          <w:color w:val="323C45"/>
          <w:sz w:val="28"/>
          <w:szCs w:val="28"/>
        </w:rPr>
        <w:br/>
        <w:t>Первичная профсоюзная организация отражает общую сумму взносов, фактически уплаченных членами профсоюза, используя при этом сведения сверки расчетов с работодателем по удержанным и полученным суммам членских профсоюзных взносов.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b/>
          <w:color w:val="323C45"/>
          <w:sz w:val="28"/>
          <w:szCs w:val="28"/>
        </w:rPr>
        <w:t>По статье 2</w:t>
      </w:r>
      <w:r w:rsidRPr="00EF2C98">
        <w:rPr>
          <w:color w:val="323C45"/>
          <w:sz w:val="28"/>
          <w:szCs w:val="28"/>
        </w:rPr>
        <w:t xml:space="preserve"> «Добровольные взносы» отражается целевые поступления для осуществления уставной деятельности.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b/>
          <w:color w:val="323C45"/>
          <w:sz w:val="28"/>
          <w:szCs w:val="28"/>
        </w:rPr>
        <w:t>По статье 3</w:t>
      </w:r>
      <w:r w:rsidRPr="00EF2C98">
        <w:rPr>
          <w:color w:val="323C45"/>
          <w:sz w:val="28"/>
          <w:szCs w:val="28"/>
        </w:rPr>
        <w:t xml:space="preserve"> «Поступления по коллективным договорам (соглашениям) на проведение социально-культурных и других мероприятий» отражаются средства, перечисленные </w:t>
      </w:r>
      <w:r w:rsidRPr="00EF2C98">
        <w:rPr>
          <w:color w:val="323C45"/>
          <w:sz w:val="28"/>
          <w:szCs w:val="28"/>
        </w:rPr>
        <w:lastRenderedPageBreak/>
        <w:t>работодателем профсоюзной организации на проведение культурно-массовых и физкультурно-оздоровительных мероприятий, предусмотренных их уставной деятельностью. Размеры отчислений профсоюзной организации на указанные цели, порядок и условия перечисления, определяются коллективным договором, соглашением.</w:t>
      </w:r>
      <w:r w:rsidRPr="00EF2C98">
        <w:rPr>
          <w:color w:val="323C45"/>
          <w:sz w:val="28"/>
          <w:szCs w:val="28"/>
        </w:rPr>
        <w:br/>
      </w:r>
      <w:r w:rsidRPr="00EF2C98">
        <w:rPr>
          <w:rStyle w:val="a4"/>
          <w:color w:val="323C45"/>
          <w:sz w:val="28"/>
          <w:szCs w:val="28"/>
        </w:rPr>
        <w:t>«РАСХОДЫ»</w:t>
      </w:r>
      <w:r w:rsidRPr="00EF2C98">
        <w:rPr>
          <w:color w:val="323C45"/>
          <w:sz w:val="28"/>
          <w:szCs w:val="28"/>
        </w:rPr>
        <w:br/>
        <w:t>По статье 1 «Целевые мероприятия»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1.2. «подготовка и обучение профсоюзных кадров и актива» показываются расходы, выделяемые на повышение квалификации, подготовку и переподготовку кадрового состава, обучение профсоюзного актива при проведении семинаров.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proofErr w:type="gramStart"/>
      <w:r w:rsidRPr="00EF2C98">
        <w:rPr>
          <w:color w:val="323C45"/>
          <w:sz w:val="28"/>
          <w:szCs w:val="28"/>
        </w:rPr>
        <w:t>1.3. «работа с молодежью» по этой статье отражаются средства (не менее 5%), предусматриваемые в сметах доходов и расходов и направленные на реализацию молодежной политики согласно планам работы молодежных советов.</w:t>
      </w:r>
      <w:r w:rsidRPr="00EF2C98">
        <w:rPr>
          <w:color w:val="323C45"/>
          <w:sz w:val="28"/>
          <w:szCs w:val="28"/>
        </w:rPr>
        <w:br/>
        <w:t>1.4. «проведение конференций, совещаний» отражается сумма расходов, связанных с проведением съездов, конференций, собраний, заседаний, совещаний.</w:t>
      </w:r>
      <w:r w:rsidRPr="00EF2C98">
        <w:rPr>
          <w:color w:val="323C45"/>
          <w:sz w:val="28"/>
          <w:szCs w:val="28"/>
        </w:rPr>
        <w:br/>
        <w:t>1.5. «культурно-массовые мероприятия» отражаются расходы, связанные с проведением культурно-массовых мероприятий (вечера отдыха, чествование ветеранов труда, экскурсии</w:t>
      </w:r>
      <w:proofErr w:type="gramEnd"/>
      <w:r w:rsidRPr="00EF2C98">
        <w:rPr>
          <w:color w:val="323C45"/>
          <w:sz w:val="28"/>
          <w:szCs w:val="28"/>
        </w:rPr>
        <w:t xml:space="preserve"> по маршрутам выходного дня, тематические вечера, и т.д., а также оздоровительная работа с детьми).</w:t>
      </w:r>
      <w:r w:rsidRPr="00EF2C98">
        <w:rPr>
          <w:color w:val="323C45"/>
          <w:sz w:val="28"/>
          <w:szCs w:val="28"/>
        </w:rPr>
        <w:br/>
        <w:t>1.6. «физкультурно-оздоровительные мероприятия» показываются расходы на проведение физкультурных мероприятий, работу спортивных секций согласно календарным планам спортивных мероприятий.</w:t>
      </w:r>
      <w:r w:rsidRPr="00EF2C98">
        <w:rPr>
          <w:color w:val="323C45"/>
          <w:sz w:val="28"/>
          <w:szCs w:val="28"/>
        </w:rPr>
        <w:br/>
        <w:t>1.7. «проведение отдельных мероприятий» расходы, неучтенные в предыдущих разделах статьи 1.</w:t>
      </w:r>
    </w:p>
    <w:p w:rsid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По статье 3 «Материальная помощь членам профсоюза» показываются суммы материальной помощи, выданные членам профсоюза согласно их письменным заявлениям по решению соответствующего профсоюзного органа.</w:t>
      </w:r>
      <w:r w:rsidRPr="00EF2C98">
        <w:rPr>
          <w:color w:val="323C45"/>
          <w:sz w:val="28"/>
          <w:szCs w:val="28"/>
        </w:rPr>
        <w:br/>
        <w:t>По статье 4 «Премирование профактива» отражаются суммы премий, выданных членам профсоюза, выполняющих уставные обязанности на общественных началах, без освобождения от основной работы.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По статье 6 «Содержание аппарата управления»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6.3. «служебные командировки и деловые поездки» отражаются расходы, связанные со служебными командировками.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6.6. «приобретение основных средств» отражают капитальные вложения в приобретении основных средств.</w:t>
      </w:r>
      <w:r w:rsidRPr="00EF2C98">
        <w:rPr>
          <w:color w:val="323C45"/>
          <w:sz w:val="28"/>
          <w:szCs w:val="28"/>
        </w:rPr>
        <w:br/>
        <w:t>6.7. «хозяйственные расходы» показываются другие расходы, не предусмотренные в настоящей статье. Например, почтовые, канцелярские, услуги связи и другие.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По статье 7 «Другие Фонды» показываются суммы отчислений в специальные профсоюзные фонды, сформированные на добровольной основе (информационной деятельности, обучения и т. д.) с учетом положений о фондах.</w:t>
      </w:r>
      <w:r w:rsidRPr="00EF2C98">
        <w:rPr>
          <w:color w:val="323C45"/>
          <w:sz w:val="28"/>
          <w:szCs w:val="28"/>
        </w:rPr>
        <w:br/>
        <w:t xml:space="preserve">По статье 8 «Расходы из средств, поступивших по коллективным договорам (соглашениям) на проведение социально-культурных и других мероприятий» отражаются суммы средств, полученные от работодателя и направленные, профсоюзными организациями, </w:t>
      </w:r>
      <w:proofErr w:type="gramStart"/>
      <w:r w:rsidRPr="00EF2C98">
        <w:rPr>
          <w:color w:val="323C45"/>
          <w:sz w:val="28"/>
          <w:szCs w:val="28"/>
        </w:rPr>
        <w:t>согласно планов</w:t>
      </w:r>
      <w:proofErr w:type="gramEnd"/>
      <w:r w:rsidRPr="00EF2C98">
        <w:rPr>
          <w:color w:val="323C45"/>
          <w:sz w:val="28"/>
          <w:szCs w:val="28"/>
        </w:rPr>
        <w:t xml:space="preserve"> работы, на проведение культурно-массовой и физкультурно-оздоровительной работы среди членов профсоюза, а также других мероприятий, предусмотренных уставной деятельностью Профсоюза.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lastRenderedPageBreak/>
        <w:br/>
        <w:t>По статье 9 «Перечисления вышестоящим профорганам» показываются суммы членских профсоюзных взносов, перечисленные в вышестоящие профсоюзные организации в течение отчетного года.</w:t>
      </w:r>
      <w:r w:rsidRPr="00EF2C98">
        <w:rPr>
          <w:color w:val="323C45"/>
          <w:sz w:val="28"/>
          <w:szCs w:val="28"/>
        </w:rPr>
        <w:br/>
        <w:t>По статье 10 «Прочие» показывают прочие организационные расходы (имущественные налоги, расходы за услуги банка, консультационные, информационные и нотариальные услуги) и другие.</w:t>
      </w: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br/>
        <w:t>Отчет должен быть подписан председателем и главным бухгалтером (бухгалтером, казначеем) профсоюзной организации (подписи расшифровываются) и заверен печатью.</w:t>
      </w:r>
    </w:p>
    <w:p w:rsidR="00965629" w:rsidRPr="00EF2C98" w:rsidRDefault="00965629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</w:p>
    <w:p w:rsidR="00965629" w:rsidRPr="00EF2C98" w:rsidRDefault="00965629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</w:p>
    <w:p w:rsidR="00965629" w:rsidRPr="00EF2C98" w:rsidRDefault="00965629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</w:p>
    <w:p w:rsidR="00965629" w:rsidRPr="00EF2C98" w:rsidRDefault="00965629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</w:p>
    <w:p w:rsidR="00965629" w:rsidRPr="00EF2C98" w:rsidRDefault="00965629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</w:p>
    <w:p w:rsidR="00965629" w:rsidRPr="00EF2C98" w:rsidRDefault="00965629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</w:p>
    <w:p w:rsidR="00965629" w:rsidRPr="00EF2C98" w:rsidRDefault="00965629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</w:p>
    <w:p w:rsidR="0080556C" w:rsidRPr="00EF2C98" w:rsidRDefault="0080556C" w:rsidP="0080556C">
      <w:pPr>
        <w:pStyle w:val="a3"/>
        <w:shd w:val="clear" w:color="auto" w:fill="FFFFFF"/>
        <w:spacing w:before="0" w:beforeAutospacing="0" w:after="60" w:afterAutospacing="0"/>
        <w:jc w:val="both"/>
        <w:rPr>
          <w:color w:val="323C45"/>
          <w:sz w:val="28"/>
          <w:szCs w:val="28"/>
        </w:rPr>
      </w:pPr>
      <w:r w:rsidRPr="00EF2C98">
        <w:rPr>
          <w:color w:val="323C45"/>
          <w:sz w:val="28"/>
          <w:szCs w:val="28"/>
        </w:rPr>
        <w:t> </w:t>
      </w:r>
    </w:p>
    <w:p w:rsidR="00F64CB4" w:rsidRPr="00EF2C98" w:rsidRDefault="00F64CB4">
      <w:pPr>
        <w:rPr>
          <w:rFonts w:ascii="Times New Roman" w:hAnsi="Times New Roman" w:cs="Times New Roman"/>
          <w:sz w:val="28"/>
          <w:szCs w:val="28"/>
        </w:rPr>
      </w:pPr>
    </w:p>
    <w:sectPr w:rsidR="00F64CB4" w:rsidRPr="00EF2C98" w:rsidSect="00EF2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56C"/>
    <w:rsid w:val="0080556C"/>
    <w:rsid w:val="00965629"/>
    <w:rsid w:val="00E32EDE"/>
    <w:rsid w:val="00EF2C98"/>
    <w:rsid w:val="00F6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56C"/>
    <w:rPr>
      <w:b/>
      <w:bCs/>
    </w:rPr>
  </w:style>
  <w:style w:type="character" w:styleId="a5">
    <w:name w:val="Hyperlink"/>
    <w:basedOn w:val="a0"/>
    <w:uiPriority w:val="99"/>
    <w:semiHidden/>
    <w:unhideWhenUsed/>
    <w:rsid w:val="00805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2018-12-17T11:20:00Z</cp:lastPrinted>
  <dcterms:created xsi:type="dcterms:W3CDTF">2018-12-17T10:19:00Z</dcterms:created>
  <dcterms:modified xsi:type="dcterms:W3CDTF">2018-12-17T11:23:00Z</dcterms:modified>
</cp:coreProperties>
</file>